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Spec="center" w:tblpY="2608"/>
        <w:tblOverlap w:val="never"/>
        <w:tblW w:w="8475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9"/>
        <w:gridCol w:w="1191"/>
        <w:gridCol w:w="1125"/>
        <w:gridCol w:w="1697"/>
        <w:gridCol w:w="1359"/>
        <w:gridCol w:w="2044"/>
      </w:tblGrid>
      <w:tr w:rsidR="00A929E2" w14:paraId="0B695798" w14:textId="77777777">
        <w:trPr>
          <w:trHeight w:val="510"/>
          <w:jc w:val="center"/>
        </w:trPr>
        <w:tc>
          <w:tcPr>
            <w:tcW w:w="1059" w:type="dxa"/>
            <w:tcBorders>
              <w:bottom w:val="single" w:sz="8" w:space="0" w:color="000000"/>
            </w:tcBorders>
            <w:vAlign w:val="center"/>
          </w:tcPr>
          <w:p w14:paraId="652BCF74" w14:textId="77777777" w:rsidR="00A929E2" w:rsidRDefault="000903C1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Trait</w:t>
            </w:r>
          </w:p>
        </w:tc>
        <w:tc>
          <w:tcPr>
            <w:tcW w:w="1191" w:type="dxa"/>
            <w:tcBorders>
              <w:bottom w:val="single" w:sz="8" w:space="0" w:color="000000"/>
            </w:tcBorders>
            <w:vAlign w:val="center"/>
          </w:tcPr>
          <w:p w14:paraId="5CC2920B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chromosome</w:t>
            </w:r>
          </w:p>
        </w:tc>
        <w:tc>
          <w:tcPr>
            <w:tcW w:w="1125" w:type="dxa"/>
            <w:tcBorders>
              <w:bottom w:val="single" w:sz="8" w:space="0" w:color="000000"/>
            </w:tcBorders>
            <w:vAlign w:val="center"/>
          </w:tcPr>
          <w:p w14:paraId="2F69A855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Linked marker</w:t>
            </w:r>
          </w:p>
        </w:tc>
        <w:tc>
          <w:tcPr>
            <w:tcW w:w="1697" w:type="dxa"/>
            <w:tcBorders>
              <w:bottom w:val="single" w:sz="8" w:space="0" w:color="000000"/>
            </w:tcBorders>
            <w:vAlign w:val="center"/>
          </w:tcPr>
          <w:p w14:paraId="036B93C8" w14:textId="7504C9F4" w:rsidR="00A929E2" w:rsidRDefault="000903C1">
            <w:pPr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enetic distance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 between marker and gene</w:t>
            </w:r>
            <w:bookmarkStart w:id="0" w:name="_GoBack"/>
            <w:bookmarkEnd w:id="0"/>
          </w:p>
        </w:tc>
        <w:tc>
          <w:tcPr>
            <w:tcW w:w="1359" w:type="dxa"/>
            <w:tcBorders>
              <w:bottom w:val="single" w:sz="8" w:space="0" w:color="000000"/>
            </w:tcBorders>
            <w:vAlign w:val="center"/>
          </w:tcPr>
          <w:p w14:paraId="51111D65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Product size (bp)</w:t>
            </w:r>
          </w:p>
        </w:tc>
        <w:tc>
          <w:tcPr>
            <w:tcW w:w="2044" w:type="dxa"/>
            <w:tcBorders>
              <w:bottom w:val="single" w:sz="8" w:space="0" w:color="000000"/>
            </w:tcBorders>
            <w:vAlign w:val="center"/>
          </w:tcPr>
          <w:p w14:paraId="18A19F4F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Reference</w:t>
            </w:r>
          </w:p>
        </w:tc>
      </w:tr>
      <w:tr w:rsidR="00A929E2" w14:paraId="55674968" w14:textId="77777777">
        <w:trPr>
          <w:trHeight w:val="285"/>
          <w:jc w:val="center"/>
        </w:trPr>
        <w:tc>
          <w:tcPr>
            <w:tcW w:w="1059" w:type="dxa"/>
            <w:tcBorders>
              <w:top w:val="single" w:sz="8" w:space="0" w:color="000000"/>
            </w:tcBorders>
            <w:vAlign w:val="center"/>
          </w:tcPr>
          <w:p w14:paraId="6352170B" w14:textId="77777777" w:rsidR="00A929E2" w:rsidRDefault="000903C1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yellow rust</w:t>
            </w:r>
          </w:p>
        </w:tc>
        <w:tc>
          <w:tcPr>
            <w:tcW w:w="1191" w:type="dxa"/>
            <w:tcBorders>
              <w:top w:val="single" w:sz="8" w:space="0" w:color="000000"/>
            </w:tcBorders>
            <w:vAlign w:val="center"/>
          </w:tcPr>
          <w:p w14:paraId="5F4ADD02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1BS</w:t>
            </w:r>
          </w:p>
        </w:tc>
        <w:tc>
          <w:tcPr>
            <w:tcW w:w="1125" w:type="dxa"/>
            <w:tcBorders>
              <w:top w:val="single" w:sz="8" w:space="0" w:color="000000"/>
            </w:tcBorders>
            <w:vAlign w:val="center"/>
          </w:tcPr>
          <w:p w14:paraId="560D71AA" w14:textId="77777777" w:rsidR="00A929E2" w:rsidRDefault="000903C1">
            <w:pPr>
              <w:jc w:val="center"/>
              <w:textAlignment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  <w:lang w:bidi="ar"/>
              </w:rPr>
              <w:t>Xgwm18</w:t>
            </w:r>
          </w:p>
        </w:tc>
        <w:tc>
          <w:tcPr>
            <w:tcW w:w="1697" w:type="dxa"/>
            <w:tcBorders>
              <w:top w:val="single" w:sz="8" w:space="0" w:color="000000"/>
            </w:tcBorders>
            <w:vAlign w:val="center"/>
          </w:tcPr>
          <w:p w14:paraId="5CCE5BBA" w14:textId="77777777" w:rsidR="00A929E2" w:rsidRDefault="000903C1">
            <w:pPr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1.9 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  <w:tc>
          <w:tcPr>
            <w:tcW w:w="1359" w:type="dxa"/>
            <w:tcBorders>
              <w:top w:val="single" w:sz="8" w:space="0" w:color="000000"/>
            </w:tcBorders>
            <w:vAlign w:val="center"/>
          </w:tcPr>
          <w:p w14:paraId="73A1C7A8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182(D), 188(R)</w:t>
            </w:r>
          </w:p>
        </w:tc>
        <w:tc>
          <w:tcPr>
            <w:tcW w:w="2044" w:type="dxa"/>
            <w:tcBorders>
              <w:top w:val="single" w:sz="8" w:space="0" w:color="000000"/>
            </w:tcBorders>
            <w:vAlign w:val="center"/>
          </w:tcPr>
          <w:p w14:paraId="2075771D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Ma J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 et al. (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2001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tr w:rsidR="00A929E2" w14:paraId="22B5B2C4" w14:textId="77777777">
        <w:trPr>
          <w:trHeight w:val="285"/>
          <w:jc w:val="center"/>
        </w:trPr>
        <w:tc>
          <w:tcPr>
            <w:tcW w:w="1059" w:type="dxa"/>
            <w:vAlign w:val="center"/>
          </w:tcPr>
          <w:p w14:paraId="76780B9F" w14:textId="77777777" w:rsidR="00A929E2" w:rsidRDefault="000903C1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5+10 subunit</w:t>
            </w:r>
          </w:p>
        </w:tc>
        <w:tc>
          <w:tcPr>
            <w:tcW w:w="1191" w:type="dxa"/>
            <w:vAlign w:val="center"/>
          </w:tcPr>
          <w:p w14:paraId="7662C1BA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1D</w:t>
            </w:r>
          </w:p>
        </w:tc>
        <w:tc>
          <w:tcPr>
            <w:tcW w:w="1125" w:type="dxa"/>
            <w:vAlign w:val="center"/>
          </w:tcPr>
          <w:p w14:paraId="45AEFD39" w14:textId="77777777" w:rsidR="00A929E2" w:rsidRDefault="000903C1">
            <w:pPr>
              <w:jc w:val="center"/>
              <w:textAlignment w:val="center"/>
              <w:rPr>
                <w:i/>
                <w:color w:val="000000"/>
                <w:sz w:val="18"/>
                <w:szCs w:val="18"/>
              </w:rPr>
            </w:pPr>
            <w:bookmarkStart w:id="1" w:name="OLE_LINK30"/>
            <w:r>
              <w:rPr>
                <w:rFonts w:hint="eastAsia"/>
                <w:i/>
                <w:color w:val="000000"/>
                <w:kern w:val="0"/>
                <w:sz w:val="18"/>
                <w:szCs w:val="18"/>
                <w:lang w:bidi="ar"/>
              </w:rPr>
              <w:t>Dx-F, Dx5-F, Dx-R</w:t>
            </w:r>
            <w:bookmarkEnd w:id="1"/>
          </w:p>
        </w:tc>
        <w:tc>
          <w:tcPr>
            <w:tcW w:w="1697" w:type="dxa"/>
            <w:vAlign w:val="center"/>
          </w:tcPr>
          <w:p w14:paraId="653548E6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  <w:r>
              <w:rPr>
                <w:rFonts w:hint="eastAsia"/>
                <w:color w:val="000000"/>
                <w:sz w:val="18"/>
                <w:szCs w:val="18"/>
              </w:rPr>
              <w:t>c</w:t>
            </w:r>
            <w:r>
              <w:rPr>
                <w:rFonts w:hint="eastAsia"/>
                <w:color w:val="000000"/>
                <w:sz w:val="18"/>
                <w:szCs w:val="18"/>
              </w:rPr>
              <w:t>M</w:t>
            </w:r>
          </w:p>
        </w:tc>
        <w:tc>
          <w:tcPr>
            <w:tcW w:w="1359" w:type="dxa"/>
            <w:vAlign w:val="center"/>
          </w:tcPr>
          <w:p w14:paraId="483A8D8D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320bp, 343bp, 361bp</w:t>
            </w:r>
          </w:p>
        </w:tc>
        <w:tc>
          <w:tcPr>
            <w:tcW w:w="2044" w:type="dxa"/>
            <w:vAlign w:val="center"/>
          </w:tcPr>
          <w:p w14:paraId="09552694" w14:textId="77777777" w:rsidR="00A929E2" w:rsidRDefault="000903C1">
            <w:pPr>
              <w:ind w:firstLineChars="200" w:firstLine="360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Ishikawa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 et al. (200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tr w:rsidR="00A929E2" w14:paraId="1C18BF15" w14:textId="77777777">
        <w:trPr>
          <w:trHeight w:val="495"/>
          <w:jc w:val="center"/>
        </w:trPr>
        <w:tc>
          <w:tcPr>
            <w:tcW w:w="1059" w:type="dxa"/>
            <w:vAlign w:val="center"/>
          </w:tcPr>
          <w:p w14:paraId="2F97C91E" w14:textId="77777777" w:rsidR="00A929E2" w:rsidRDefault="000903C1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powdery mildew</w:t>
            </w:r>
          </w:p>
        </w:tc>
        <w:tc>
          <w:tcPr>
            <w:tcW w:w="1191" w:type="dxa"/>
            <w:vAlign w:val="center"/>
          </w:tcPr>
          <w:p w14:paraId="6D0B5B6A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2AL</w:t>
            </w:r>
          </w:p>
        </w:tc>
        <w:tc>
          <w:tcPr>
            <w:tcW w:w="1125" w:type="dxa"/>
            <w:vAlign w:val="center"/>
          </w:tcPr>
          <w:p w14:paraId="67BED157" w14:textId="77777777" w:rsidR="00A929E2" w:rsidRDefault="000903C1">
            <w:pPr>
              <w:jc w:val="center"/>
              <w:textAlignment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  <w:lang w:bidi="ar"/>
              </w:rPr>
              <w:t>Xwmc170</w:t>
            </w:r>
          </w:p>
        </w:tc>
        <w:tc>
          <w:tcPr>
            <w:tcW w:w="1697" w:type="dxa"/>
            <w:vAlign w:val="center"/>
          </w:tcPr>
          <w:p w14:paraId="1E71DCBC" w14:textId="77777777" w:rsidR="00A929E2" w:rsidRDefault="000903C1">
            <w:pPr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4.1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  <w:tc>
          <w:tcPr>
            <w:tcW w:w="1359" w:type="dxa"/>
            <w:vAlign w:val="center"/>
          </w:tcPr>
          <w:p w14:paraId="112DE1E1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257(D), 248(R)</w:t>
            </w:r>
          </w:p>
        </w:tc>
        <w:tc>
          <w:tcPr>
            <w:tcW w:w="2044" w:type="dxa"/>
            <w:vAlign w:val="center"/>
          </w:tcPr>
          <w:p w14:paraId="283F3674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Zhang et al. (2015)</w:t>
            </w:r>
          </w:p>
        </w:tc>
      </w:tr>
      <w:tr w:rsidR="00A929E2" w14:paraId="4E04B357" w14:textId="77777777">
        <w:trPr>
          <w:trHeight w:val="510"/>
          <w:jc w:val="center"/>
        </w:trPr>
        <w:tc>
          <w:tcPr>
            <w:tcW w:w="1059" w:type="dxa"/>
            <w:vAlign w:val="center"/>
          </w:tcPr>
          <w:p w14:paraId="7C675248" w14:textId="77777777" w:rsidR="00A929E2" w:rsidRDefault="000903C1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powdery mildew</w:t>
            </w:r>
          </w:p>
        </w:tc>
        <w:tc>
          <w:tcPr>
            <w:tcW w:w="1191" w:type="dxa"/>
            <w:vAlign w:val="center"/>
          </w:tcPr>
          <w:p w14:paraId="22CC8334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 xml:space="preserve"> 2BL</w:t>
            </w:r>
          </w:p>
        </w:tc>
        <w:tc>
          <w:tcPr>
            <w:tcW w:w="1125" w:type="dxa"/>
            <w:vAlign w:val="center"/>
          </w:tcPr>
          <w:p w14:paraId="1AD21CDD" w14:textId="77777777" w:rsidR="00A929E2" w:rsidRDefault="000903C1">
            <w:pPr>
              <w:jc w:val="center"/>
              <w:textAlignment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  <w:lang w:bidi="ar"/>
              </w:rPr>
              <w:t>Xwmc332</w:t>
            </w:r>
          </w:p>
        </w:tc>
        <w:tc>
          <w:tcPr>
            <w:tcW w:w="1697" w:type="dxa"/>
            <w:vAlign w:val="center"/>
          </w:tcPr>
          <w:p w14:paraId="09A9FBE4" w14:textId="77777777" w:rsidR="00A929E2" w:rsidRDefault="000903C1">
            <w:pPr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6.7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  <w:tc>
          <w:tcPr>
            <w:tcW w:w="1359" w:type="dxa"/>
            <w:vAlign w:val="center"/>
          </w:tcPr>
          <w:p w14:paraId="593116BE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228(D), 236(R)</w:t>
            </w:r>
          </w:p>
        </w:tc>
        <w:tc>
          <w:tcPr>
            <w:tcW w:w="2044" w:type="dxa"/>
            <w:vAlign w:val="center"/>
          </w:tcPr>
          <w:p w14:paraId="4B426AB6" w14:textId="77777777" w:rsidR="00A929E2" w:rsidRDefault="000903C1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Zhang et al. (2015)</w:t>
            </w:r>
          </w:p>
        </w:tc>
      </w:tr>
    </w:tbl>
    <w:p w14:paraId="2560E7AD" w14:textId="77777777" w:rsidR="00A929E2" w:rsidRDefault="00A929E2"/>
    <w:sectPr w:rsidR="00A929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D3E"/>
    <w:rsid w:val="000903C1"/>
    <w:rsid w:val="00850D3E"/>
    <w:rsid w:val="00A929E2"/>
    <w:rsid w:val="0A413A62"/>
    <w:rsid w:val="14FC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37C6D"/>
  <w15:docId w15:val="{C07CBED5-D73D-4A9E-BF20-7F908739B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</dc:creator>
  <cp:lastModifiedBy>zheng </cp:lastModifiedBy>
  <cp:revision>2</cp:revision>
  <dcterms:created xsi:type="dcterms:W3CDTF">2019-03-19T08:28:00Z</dcterms:created>
  <dcterms:modified xsi:type="dcterms:W3CDTF">2019-12-15T02:15:00Z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